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EF" w:rsidRDefault="002A295D">
      <w:pPr>
        <w:pStyle w:val="Textbody"/>
        <w:spacing w:line="460" w:lineRule="exact"/>
        <w:jc w:val="center"/>
        <w:rPr>
          <w:rFonts w:ascii="標楷體" w:eastAsia="標楷體" w:hAnsi="標楷體" w:cs="Courier New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Courier New"/>
          <w:b/>
          <w:sz w:val="40"/>
          <w:szCs w:val="40"/>
        </w:rPr>
        <w:t>總統教育獎辦理要點部分規定修正規定</w:t>
      </w:r>
    </w:p>
    <w:p w:rsidR="00B805EF" w:rsidRDefault="002A295D">
      <w:pPr>
        <w:pStyle w:val="a5"/>
        <w:widowControl/>
        <w:numPr>
          <w:ilvl w:val="0"/>
          <w:numId w:val="13"/>
        </w:numPr>
        <w:overflowPunct w:val="0"/>
        <w:spacing w:line="4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本會置委員十一人至十五人，其中總統府代表、行政院代表、教育部部長、教育部業管次長、教育部國民及學前教育署（以下簡稱國教署）署長五人為當然委員，其餘委員六人至十人，由總統府就各界素孚眾望人士聘兼之；召集人由教育部部長兼任。</w:t>
      </w:r>
    </w:p>
    <w:p w:rsidR="00B805EF" w:rsidRDefault="002A295D">
      <w:pPr>
        <w:pStyle w:val="Textbody"/>
        <w:widowControl/>
        <w:overflowPunct w:val="0"/>
        <w:spacing w:line="460" w:lineRule="exact"/>
        <w:ind w:left="567"/>
        <w:jc w:val="both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本會委員任期一年，期滿得續派（聘）之。委員於任期內因故出缺時，得依其專業領域補派（聘）之，其任期至原任期屆滿之日止。政府機關代表擔任之委員，應隨其本職進退。</w:t>
      </w:r>
    </w:p>
    <w:p w:rsidR="00B805EF" w:rsidRDefault="002A295D">
      <w:pPr>
        <w:pStyle w:val="Textbody"/>
        <w:widowControl/>
        <w:overflowPunct w:val="0"/>
        <w:spacing w:line="460" w:lineRule="exact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    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本會委員任一性別比率，不得低於委員總數百分之四十。</w:t>
      </w:r>
    </w:p>
    <w:p w:rsidR="00B805EF" w:rsidRDefault="002A295D">
      <w:pPr>
        <w:pStyle w:val="a5"/>
        <w:widowControl/>
        <w:numPr>
          <w:ilvl w:val="0"/>
          <w:numId w:val="14"/>
        </w:numPr>
        <w:overflowPunct w:val="0"/>
        <w:spacing w:line="4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發展分組委員會置委員十九人至二十三人，其中一人為召集人，由教育部業管次長兼任，其餘分組委員，由下列人員兼任：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28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本會委員二人：由本會自第三點第一項總統府聘兼委員中推派。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284" w:firstLine="945"/>
        <w:jc w:val="both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二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衛生福利部、勞動部、經濟部、國教署、教育部青年發展署及教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284" w:firstLine="945"/>
        <w:jc w:val="both"/>
      </w:pPr>
      <w:r>
        <w:t xml:space="preserve">         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育部終身教育司代表六人：由教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育部聘（派）之。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28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專家學者、企業人士及社會人士代表十一人至十五人：由教育部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28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聘任之。</w:t>
      </w:r>
    </w:p>
    <w:p w:rsidR="00B805EF" w:rsidRDefault="002A295D">
      <w:pPr>
        <w:pStyle w:val="a5"/>
        <w:widowControl/>
        <w:overflowPunct w:val="0"/>
        <w:spacing w:line="460" w:lineRule="exact"/>
        <w:ind w:left="567" w:firstLine="284"/>
        <w:jc w:val="both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>前項分組委員任期一年，期滿得續派（聘）之。委員於任期內因故出缺時，得依其專業領域補派（聘）之，其任期至原任期屆滿之日止。政府機關代表擔任之委員，應隨其本職進退。</w:t>
      </w:r>
    </w:p>
    <w:p w:rsidR="00B805EF" w:rsidRDefault="002A295D">
      <w:pPr>
        <w:pStyle w:val="Textbody"/>
        <w:widowControl/>
        <w:tabs>
          <w:tab w:val="left" w:pos="874"/>
        </w:tabs>
        <w:overflowPunct w:val="0"/>
        <w:spacing w:line="460" w:lineRule="exact"/>
        <w:ind w:left="566" w:hanging="566"/>
        <w:jc w:val="both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 xml:space="preserve">        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  <w:lang w:val="en-GB"/>
        </w:rPr>
        <w:t>第一項分組委員任一性別比率，不得低於委員總數百分之四十。</w:t>
      </w:r>
    </w:p>
    <w:p w:rsidR="00B805EF" w:rsidRDefault="002A295D">
      <w:pPr>
        <w:pStyle w:val="a5"/>
        <w:widowControl/>
        <w:numPr>
          <w:ilvl w:val="0"/>
          <w:numId w:val="15"/>
        </w:numPr>
        <w:overflowPunct w:val="0"/>
        <w:spacing w:line="460" w:lineRule="exact"/>
        <w:jc w:val="both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本會置執行秘書一人，由國教署署長兼任，承本會召集人指示，辦理本會相關行政事務；並由教育部高等教育司、技術及職業教育司、學生事務及特殊教育司、體育署與國教署內之國中小教育組、高級中等教育組、原民特教組及學務校安組，指派代表擔任工作人員，協助相關事宜。</w:t>
      </w:r>
    </w:p>
    <w:p w:rsidR="00B805EF" w:rsidRDefault="002A295D">
      <w:pPr>
        <w:pStyle w:val="a5"/>
        <w:widowControl/>
        <w:overflowPunct w:val="0"/>
        <w:spacing w:line="460" w:lineRule="exact"/>
        <w:ind w:left="567"/>
        <w:jc w:val="both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本會或各分組委員會開會時，召集人得視需要，指派前項以外教育部相關單位代表擔任工作人員，協助相關事宜。</w:t>
      </w:r>
    </w:p>
    <w:p w:rsidR="00B805EF" w:rsidRDefault="002A295D">
      <w:pPr>
        <w:pStyle w:val="Textbody"/>
        <w:widowControl/>
        <w:overflowPunct w:val="0"/>
        <w:spacing w:line="46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十一、本獎項之遴選程序如下：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推薦對象為具中華民國籍，就讀國內下列公、私立學校之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1134" w:hanging="567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在學學生：</w:t>
      </w:r>
    </w:p>
    <w:p w:rsidR="00B805EF" w:rsidRDefault="002A295D">
      <w:pPr>
        <w:pStyle w:val="a5"/>
        <w:widowControl/>
        <w:numPr>
          <w:ilvl w:val="0"/>
          <w:numId w:val="16"/>
        </w:numPr>
        <w:overflowPunct w:val="0"/>
        <w:spacing w:line="460" w:lineRule="exact"/>
        <w:ind w:left="1418" w:hanging="425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大專組：大專校院，包括二年制專科學校、五年制專科學校後二年、大學部、碩士班及博士班。</w:t>
      </w:r>
    </w:p>
    <w:p w:rsidR="00B805EF" w:rsidRDefault="002A295D">
      <w:pPr>
        <w:pStyle w:val="a5"/>
        <w:widowControl/>
        <w:numPr>
          <w:ilvl w:val="0"/>
          <w:numId w:val="6"/>
        </w:numPr>
        <w:overflowPunct w:val="0"/>
        <w:spacing w:line="460" w:lineRule="exact"/>
        <w:ind w:left="1418" w:hanging="425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高中組：高級中等學校，包括普通型高級中等學校、技術型高級中等學校、綜合型高級中等學校、單科型高級中等學校，及五年制專科學校前三年。</w:t>
      </w:r>
    </w:p>
    <w:p w:rsidR="00B805EF" w:rsidRDefault="002A295D">
      <w:pPr>
        <w:pStyle w:val="a5"/>
        <w:widowControl/>
        <w:numPr>
          <w:ilvl w:val="0"/>
          <w:numId w:val="6"/>
        </w:numPr>
        <w:overflowPunct w:val="0"/>
        <w:spacing w:line="460" w:lineRule="exact"/>
        <w:ind w:left="1418" w:hanging="425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國中組：國民中學。</w:t>
      </w:r>
    </w:p>
    <w:p w:rsidR="00B805EF" w:rsidRDefault="002A295D">
      <w:pPr>
        <w:pStyle w:val="a5"/>
        <w:widowControl/>
        <w:numPr>
          <w:ilvl w:val="0"/>
          <w:numId w:val="6"/>
        </w:numPr>
        <w:overflowPunct w:val="0"/>
        <w:spacing w:line="460" w:lineRule="exact"/>
        <w:ind w:left="1418" w:hanging="425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國小組：國民小學。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567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Style w:val="WW-"/>
        </w:rPr>
        <w:t>二</w:t>
      </w:r>
      <w:r>
        <w:rPr>
          <w:rStyle w:val="WW-"/>
        </w:rPr>
        <w:t>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推薦對象獲推薦之條件，為於逆境中，仍能奮發向上及樂觀進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567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取，並具備下列條件之一者：</w:t>
      </w:r>
    </w:p>
    <w:p w:rsidR="00B805EF" w:rsidRDefault="002A295D">
      <w:pPr>
        <w:pStyle w:val="a5"/>
        <w:widowControl/>
        <w:numPr>
          <w:ilvl w:val="0"/>
          <w:numId w:val="17"/>
        </w:numPr>
        <w:overflowPunct w:val="0"/>
        <w:spacing w:line="460" w:lineRule="exact"/>
        <w:ind w:left="1418" w:hanging="425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發揮服務奉獻、孝行表現、友愛行為或體恤他人等情懷，對社會風氣有良善影響，足堪楷模。</w:t>
      </w:r>
    </w:p>
    <w:p w:rsidR="00B805EF" w:rsidRDefault="002A295D">
      <w:pPr>
        <w:pStyle w:val="a5"/>
        <w:widowControl/>
        <w:numPr>
          <w:ilvl w:val="0"/>
          <w:numId w:val="7"/>
        </w:numPr>
        <w:overflowPunct w:val="0"/>
        <w:spacing w:line="460" w:lineRule="exact"/>
        <w:ind w:left="1418" w:hanging="425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語言、藝術、薪傳技藝、技能、科學、科技、資訊、體育、創新研發或其他領域，具有特殊才能，出類拔萃。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567"/>
        <w:jc w:val="both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三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遴選方式分為初審及複審；初審評選會、複審評選會進行評選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567"/>
        <w:jc w:val="both"/>
      </w:pPr>
      <w:r>
        <w:t xml:space="preserve">         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作業時，應就推薦案逐案進行審查後，提出審查通過名單，並</w:t>
      </w:r>
    </w:p>
    <w:p w:rsidR="00B805EF" w:rsidRDefault="002A295D">
      <w:pPr>
        <w:pStyle w:val="a5"/>
        <w:widowControl/>
        <w:suppressAutoHyphens w:val="0"/>
        <w:overflowPunct w:val="0"/>
        <w:spacing w:line="460" w:lineRule="exact"/>
        <w:ind w:left="567"/>
        <w:jc w:val="both"/>
      </w:pPr>
      <w:r>
        <w:t xml:space="preserve">         </w:t>
      </w: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具體敘明審查通過之理由。</w:t>
      </w:r>
    </w:p>
    <w:p w:rsidR="00B805EF" w:rsidRDefault="002A295D">
      <w:pPr>
        <w:pStyle w:val="Textbody"/>
        <w:widowControl/>
        <w:overflowPunct w:val="0"/>
        <w:spacing w:line="460" w:lineRule="exact"/>
        <w:ind w:left="851" w:hanging="851"/>
        <w:jc w:val="both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t>十二、本獎項之每一組別以獲獎一次為限；曾獲得本獎項者，不得再接受推薦本獎項之同一組別。</w:t>
      </w:r>
    </w:p>
    <w:p w:rsidR="00B805EF" w:rsidRDefault="002A295D">
      <w:pPr>
        <w:pStyle w:val="Textbody"/>
        <w:spacing w:line="460" w:lineRule="exact"/>
      </w:pPr>
      <w:r>
        <w:rPr>
          <w:rStyle w:val="WW-"/>
          <w:rFonts w:ascii="標楷體" w:eastAsia="標楷體" w:hAnsi="標楷體" w:cs="標楷體"/>
          <w:sz w:val="28"/>
          <w:szCs w:val="28"/>
        </w:rPr>
        <w:t>十三、本</w:t>
      </w:r>
      <w:r>
        <w:rPr>
          <w:rStyle w:val="WW-"/>
          <w:rFonts w:ascii="標楷體" w:eastAsia="標楷體" w:hAnsi="標楷體" w:cs="Courier New"/>
          <w:sz w:val="28"/>
          <w:szCs w:val="28"/>
          <w:lang w:val="en-GB"/>
        </w:rPr>
        <w:t>獎項</w:t>
      </w:r>
      <w:r>
        <w:rPr>
          <w:rStyle w:val="WW-"/>
          <w:rFonts w:ascii="標楷體" w:eastAsia="標楷體" w:hAnsi="標楷體" w:cs="標楷體"/>
          <w:sz w:val="28"/>
          <w:szCs w:val="28"/>
        </w:rPr>
        <w:t>，每年辦理一次。</w:t>
      </w:r>
    </w:p>
    <w:p w:rsidR="00B805EF" w:rsidRDefault="002A295D">
      <w:pPr>
        <w:pStyle w:val="Textbody"/>
        <w:spacing w:line="460" w:lineRule="exact"/>
        <w:ind w:left="85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每位獲獎學生，由總統頒發獎助學金、獎狀一紙及獎座一座；其獎勵經費，由教育部年度預算支應。</w:t>
      </w:r>
    </w:p>
    <w:p w:rsidR="00B805EF" w:rsidRDefault="002A295D">
      <w:pPr>
        <w:pStyle w:val="Textbody"/>
        <w:spacing w:line="460" w:lineRule="exact"/>
        <w:ind w:left="851" w:hanging="567"/>
      </w:pPr>
      <w:r>
        <w:rPr>
          <w:rStyle w:val="WW-"/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Style w:val="WW-"/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Style w:val="WW-"/>
          <w:rFonts w:ascii="標楷體" w:eastAsia="標楷體" w:hAnsi="標楷體" w:cs="標楷體"/>
          <w:sz w:val="28"/>
          <w:szCs w:val="28"/>
        </w:rPr>
        <w:t>每年獎勵名額，以四十八人至六十人為原則；各組名額及獎助學金金額，規定如下：</w:t>
      </w:r>
    </w:p>
    <w:p w:rsidR="00B805EF" w:rsidRDefault="002A295D">
      <w:pPr>
        <w:pStyle w:val="a5"/>
        <w:spacing w:line="460" w:lineRule="exact"/>
        <w:ind w:left="0" w:firstLine="567"/>
      </w:pPr>
      <w:r>
        <w:rPr>
          <w:rStyle w:val="WW-"/>
          <w:rFonts w:ascii="標楷體" w:eastAsia="標楷體" w:hAnsi="標楷體" w:cs="標楷體"/>
          <w:sz w:val="28"/>
          <w:szCs w:val="28"/>
        </w:rPr>
        <w:t>(</w:t>
      </w:r>
      <w:r>
        <w:rPr>
          <w:rStyle w:val="WW-"/>
          <w:rFonts w:ascii="標楷體" w:eastAsia="標楷體" w:hAnsi="標楷體" w:cs="標楷體"/>
          <w:sz w:val="28"/>
          <w:szCs w:val="28"/>
        </w:rPr>
        <w:t>一</w:t>
      </w:r>
      <w:r>
        <w:rPr>
          <w:rStyle w:val="WW-"/>
          <w:rFonts w:ascii="標楷體" w:eastAsia="標楷體" w:hAnsi="標楷體" w:cs="標楷體"/>
          <w:sz w:val="28"/>
          <w:szCs w:val="28"/>
        </w:rPr>
        <w:t>)</w:t>
      </w:r>
      <w:r>
        <w:rPr>
          <w:rStyle w:val="WW-"/>
          <w:rFonts w:ascii="標楷體" w:eastAsia="標楷體" w:hAnsi="標楷體" w:cs="標楷體"/>
          <w:sz w:val="28"/>
          <w:szCs w:val="28"/>
        </w:rPr>
        <w:t>大專組：六人至十人，每人新臺幣（以下同）二十五萬元。</w:t>
      </w:r>
    </w:p>
    <w:p w:rsidR="00B805EF" w:rsidRDefault="002A295D">
      <w:pPr>
        <w:pStyle w:val="a5"/>
        <w:spacing w:line="460" w:lineRule="exact"/>
        <w:ind w:left="0" w:firstLine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高中組：十人至十四人，每人二十萬元。</w:t>
      </w:r>
    </w:p>
    <w:p w:rsidR="00B805EF" w:rsidRDefault="002A295D">
      <w:pPr>
        <w:pStyle w:val="a5"/>
        <w:spacing w:line="460" w:lineRule="exact"/>
        <w:ind w:left="0" w:firstLine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國中組：十六人至十八人，每人十五萬元。</w:t>
      </w:r>
    </w:p>
    <w:p w:rsidR="00B805EF" w:rsidRDefault="002A295D">
      <w:pPr>
        <w:pStyle w:val="a5"/>
        <w:spacing w:line="460" w:lineRule="exact"/>
        <w:ind w:left="0" w:firstLine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國小組：十六人至十八人，每人十五萬元。</w:t>
      </w:r>
    </w:p>
    <w:p w:rsidR="00B805EF" w:rsidRDefault="002A295D">
      <w:pPr>
        <w:pStyle w:val="Textbody"/>
        <w:widowControl/>
        <w:overflowPunct w:val="0"/>
        <w:spacing w:line="460" w:lineRule="exact"/>
        <w:ind w:left="851" w:firstLine="567"/>
        <w:jc w:val="both"/>
      </w:pPr>
      <w:r>
        <w:rPr>
          <w:rStyle w:val="WW-"/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受推薦參加本獎項複審而未經審查通過者，得由教育部頒發奮發向上獎之獎狀一紙及二萬元獎助學金。</w:t>
      </w:r>
    </w:p>
    <w:sectPr w:rsidR="00B805EF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5D" w:rsidRDefault="002A295D">
      <w:pPr>
        <w:rPr>
          <w:rFonts w:hint="eastAsia"/>
        </w:rPr>
      </w:pPr>
      <w:r>
        <w:separator/>
      </w:r>
    </w:p>
  </w:endnote>
  <w:endnote w:type="continuationSeparator" w:id="0">
    <w:p w:rsidR="002A295D" w:rsidRDefault="002A29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5D" w:rsidRDefault="002A29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A295D" w:rsidRDefault="002A29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54A9"/>
    <w:multiLevelType w:val="multilevel"/>
    <w:tmpl w:val="5A7E3056"/>
    <w:styleLink w:val="WW8Num5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ascii="標楷體" w:eastAsia="標楷體" w:hAnsi="標楷體" w:cs="標楷體"/>
        <w:color w:val="000000"/>
        <w:kern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7623" w:hanging="480"/>
      </w:pPr>
    </w:lvl>
    <w:lvl w:ilvl="2">
      <w:start w:val="1"/>
      <w:numFmt w:val="lowerRoman"/>
      <w:lvlText w:val="%1.%2.%3."/>
      <w:lvlJc w:val="right"/>
      <w:pPr>
        <w:ind w:left="8103" w:hanging="480"/>
      </w:pPr>
    </w:lvl>
    <w:lvl w:ilvl="3">
      <w:start w:val="1"/>
      <w:numFmt w:val="decimal"/>
      <w:lvlText w:val="%1.%2.%3.%4."/>
      <w:lvlJc w:val="left"/>
      <w:pPr>
        <w:ind w:left="8583" w:hanging="480"/>
      </w:pPr>
    </w:lvl>
    <w:lvl w:ilvl="4">
      <w:start w:val="1"/>
      <w:numFmt w:val="ideographTraditional"/>
      <w:lvlText w:val="%1.%2.%3.%4.%5、"/>
      <w:lvlJc w:val="left"/>
      <w:pPr>
        <w:ind w:left="9063" w:hanging="480"/>
      </w:pPr>
    </w:lvl>
    <w:lvl w:ilvl="5">
      <w:start w:val="1"/>
      <w:numFmt w:val="lowerRoman"/>
      <w:lvlText w:val="%1.%2.%3.%4.%5.%6."/>
      <w:lvlJc w:val="right"/>
      <w:pPr>
        <w:ind w:left="9543" w:hanging="480"/>
      </w:pPr>
    </w:lvl>
    <w:lvl w:ilvl="6">
      <w:start w:val="1"/>
      <w:numFmt w:val="decimal"/>
      <w:lvlText w:val="%1.%2.%3.%4.%5.%6.%7."/>
      <w:lvlJc w:val="left"/>
      <w:pPr>
        <w:ind w:left="10023" w:hanging="480"/>
      </w:pPr>
    </w:lvl>
    <w:lvl w:ilvl="7">
      <w:start w:val="1"/>
      <w:numFmt w:val="ideographTraditional"/>
      <w:lvlText w:val="%1.%2.%3.%4.%5.%6.%7.%8、"/>
      <w:lvlJc w:val="left"/>
      <w:pPr>
        <w:ind w:left="10503" w:hanging="480"/>
      </w:pPr>
    </w:lvl>
    <w:lvl w:ilvl="8">
      <w:start w:val="1"/>
      <w:numFmt w:val="lowerRoman"/>
      <w:lvlText w:val="%1.%2.%3.%4.%5.%6.%7.%8.%9."/>
      <w:lvlJc w:val="right"/>
      <w:pPr>
        <w:ind w:left="10983" w:hanging="480"/>
      </w:pPr>
    </w:lvl>
  </w:abstractNum>
  <w:abstractNum w:abstractNumId="1" w15:restartNumberingAfterBreak="0">
    <w:nsid w:val="25166D16"/>
    <w:multiLevelType w:val="multilevel"/>
    <w:tmpl w:val="766684A0"/>
    <w:styleLink w:val="WW8Num9"/>
    <w:lvl w:ilvl="0">
      <w:start w:val="7"/>
      <w:numFmt w:val="japaneseCounting"/>
      <w:lvlText w:val="%1、"/>
      <w:lvlJc w:val="left"/>
      <w:pPr>
        <w:ind w:left="570" w:hanging="570"/>
      </w:pPr>
      <w:rPr>
        <w:rFonts w:ascii="標楷體" w:eastAsia="標楷體" w:hAnsi="標楷體" w:cs="標楷體"/>
        <w:color w:val="000000"/>
        <w:kern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392A4194"/>
    <w:multiLevelType w:val="multilevel"/>
    <w:tmpl w:val="39608CBA"/>
    <w:styleLink w:val="WW8Num4"/>
    <w:lvl w:ilvl="0">
      <w:start w:val="7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39DF4E26"/>
    <w:multiLevelType w:val="multilevel"/>
    <w:tmpl w:val="AC2EFDF6"/>
    <w:styleLink w:val="WW8Num8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4" w15:restartNumberingAfterBreak="0">
    <w:nsid w:val="3D48236E"/>
    <w:multiLevelType w:val="multilevel"/>
    <w:tmpl w:val="C32863DA"/>
    <w:styleLink w:val="WW8Num12"/>
    <w:lvl w:ilvl="0">
      <w:start w:val="5"/>
      <w:numFmt w:val="japaneseCounting"/>
      <w:lvlText w:val="%1、"/>
      <w:lvlJc w:val="left"/>
      <w:pPr>
        <w:ind w:left="570" w:hanging="570"/>
      </w:pPr>
      <w:rPr>
        <w:rFonts w:ascii="標楷體" w:eastAsia="標楷體" w:hAnsi="標楷體" w:cs="標楷體"/>
        <w:color w:val="000000"/>
        <w:kern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40F256C9"/>
    <w:multiLevelType w:val="multilevel"/>
    <w:tmpl w:val="365A855E"/>
    <w:styleLink w:val="WW8Num1"/>
    <w:lvl w:ilvl="0">
      <w:start w:val="3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6F206CA"/>
    <w:multiLevelType w:val="multilevel"/>
    <w:tmpl w:val="47085ACC"/>
    <w:styleLink w:val="WW8Num10"/>
    <w:lvl w:ilvl="0">
      <w:start w:val="3"/>
      <w:numFmt w:val="japaneseCounting"/>
      <w:lvlText w:val="%1、"/>
      <w:lvlJc w:val="left"/>
      <w:pPr>
        <w:ind w:left="570" w:hanging="570"/>
      </w:pPr>
      <w:rPr>
        <w:rFonts w:ascii="標楷體" w:eastAsia="標楷體" w:hAnsi="標楷體" w:cs="標楷體"/>
        <w:color w:val="000000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4C6867FD"/>
    <w:multiLevelType w:val="multilevel"/>
    <w:tmpl w:val="5D7A6790"/>
    <w:styleLink w:val="WW8Num3"/>
    <w:lvl w:ilvl="0">
      <w:start w:val="1"/>
      <w:numFmt w:val="decimal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1320" w:hanging="48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、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、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8" w15:restartNumberingAfterBreak="0">
    <w:nsid w:val="4F3C7A38"/>
    <w:multiLevelType w:val="multilevel"/>
    <w:tmpl w:val="1A7A33EE"/>
    <w:styleLink w:val="WW8Num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color w:val="000000"/>
        <w:kern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4F6F1863"/>
    <w:multiLevelType w:val="multilevel"/>
    <w:tmpl w:val="A7B42C3C"/>
    <w:styleLink w:val="WW8Num7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1.%2、"/>
      <w:lvlJc w:val="left"/>
      <w:pPr>
        <w:ind w:left="1811" w:hanging="480"/>
      </w:pPr>
    </w:lvl>
    <w:lvl w:ilvl="2">
      <w:start w:val="1"/>
      <w:numFmt w:val="lowerRoman"/>
      <w:lvlText w:val="%1.%2.%3."/>
      <w:lvlJc w:val="right"/>
      <w:pPr>
        <w:ind w:left="2291" w:hanging="480"/>
      </w:pPr>
    </w:lvl>
    <w:lvl w:ilvl="3">
      <w:start w:val="1"/>
      <w:numFmt w:val="decimal"/>
      <w:lvlText w:val="%1.%2.%3.%4."/>
      <w:lvlJc w:val="left"/>
      <w:pPr>
        <w:ind w:left="2771" w:hanging="480"/>
      </w:pPr>
    </w:lvl>
    <w:lvl w:ilvl="4">
      <w:start w:val="1"/>
      <w:numFmt w:val="ideographTraditional"/>
      <w:lvlText w:val="%1.%2.%3.%4.%5、"/>
      <w:lvlJc w:val="left"/>
      <w:pPr>
        <w:ind w:left="3251" w:hanging="480"/>
      </w:pPr>
    </w:lvl>
    <w:lvl w:ilvl="5">
      <w:start w:val="1"/>
      <w:numFmt w:val="lowerRoman"/>
      <w:lvlText w:val="%1.%2.%3.%4.%5.%6."/>
      <w:lvlJc w:val="right"/>
      <w:pPr>
        <w:ind w:left="3731" w:hanging="480"/>
      </w:pPr>
    </w:lvl>
    <w:lvl w:ilvl="6">
      <w:start w:val="1"/>
      <w:numFmt w:val="decimal"/>
      <w:lvlText w:val="%1.%2.%3.%4.%5.%6.%7."/>
      <w:lvlJc w:val="left"/>
      <w:pPr>
        <w:ind w:left="4211" w:hanging="480"/>
      </w:pPr>
    </w:lvl>
    <w:lvl w:ilvl="7">
      <w:start w:val="1"/>
      <w:numFmt w:val="ideographTraditional"/>
      <w:lvlText w:val="%1.%2.%3.%4.%5.%6.%7.%8、"/>
      <w:lvlJc w:val="left"/>
      <w:pPr>
        <w:ind w:left="4691" w:hanging="480"/>
      </w:pPr>
    </w:lvl>
    <w:lvl w:ilvl="8">
      <w:start w:val="1"/>
      <w:numFmt w:val="lowerRoman"/>
      <w:lvlText w:val="%1.%2.%3.%4.%5.%6.%7.%8.%9."/>
      <w:lvlJc w:val="right"/>
      <w:pPr>
        <w:ind w:left="5171" w:hanging="480"/>
      </w:pPr>
    </w:lvl>
  </w:abstractNum>
  <w:abstractNum w:abstractNumId="10" w15:restartNumberingAfterBreak="0">
    <w:nsid w:val="60560328"/>
    <w:multiLevelType w:val="multilevel"/>
    <w:tmpl w:val="7A4AF1D0"/>
    <w:styleLink w:val="WW8Num11"/>
    <w:lvl w:ilvl="0">
      <w:start w:val="3"/>
      <w:numFmt w:val="japaneseCounting"/>
      <w:lvlText w:val="%1、"/>
      <w:lvlJc w:val="left"/>
      <w:pPr>
        <w:ind w:left="1137" w:hanging="570"/>
      </w:pPr>
      <w:rPr>
        <w:rFonts w:ascii="標楷體" w:eastAsia="標楷體" w:hAnsi="標楷體" w:cs="標楷體"/>
        <w:color w:val="000000"/>
        <w:sz w:val="28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11" w15:restartNumberingAfterBreak="0">
    <w:nsid w:val="7B216C7C"/>
    <w:multiLevelType w:val="multilevel"/>
    <w:tmpl w:val="31D88264"/>
    <w:styleLink w:val="WW8Num2"/>
    <w:lvl w:ilvl="0">
      <w:start w:val="5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6"/>
    <w:lvlOverride w:ilvl="0">
      <w:startOverride w:val="3"/>
    </w:lvlOverride>
  </w:num>
  <w:num w:numId="14">
    <w:abstractNumId w:val="4"/>
    <w:lvlOverride w:ilvl="0">
      <w:startOverride w:val="5"/>
    </w:lvlOverride>
  </w:num>
  <w:num w:numId="15">
    <w:abstractNumId w:val="1"/>
    <w:lvlOverride w:ilvl="0">
      <w:startOverride w:val="7"/>
    </w:lvlOverride>
  </w:num>
  <w:num w:numId="16">
    <w:abstractNumId w:val="8"/>
    <w:lvlOverride w:ilvl="0">
      <w:startOverride w:val="1"/>
    </w:lvlOverride>
  </w:num>
  <w:num w:numId="1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05EF"/>
    <w:rsid w:val="000712FD"/>
    <w:rsid w:val="002A295D"/>
    <w:rsid w:val="00B8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4616C-601F-45DC-AC29-7485EB8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rPr>
      <w:rFonts w:ascii="Calibri" w:eastAsia="新細明體, PMingLiU" w:hAnsi="Calibri" w:cs="Calibri"/>
      <w:szCs w:val="22"/>
      <w:lang w:bidi="ar-SA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color w:val="000000"/>
      <w:kern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color w:val="000000"/>
      <w:kern w:val="0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  <w:color w:val="000000"/>
      <w:kern w:val="0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標楷體"/>
      <w:color w:val="000000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color w:val="000000"/>
      <w:sz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  <w:color w:val="000000"/>
      <w:kern w:val="0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-">
    <w:name w:val="WW-預設段落字型"/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1240</Characters>
  <Application>Microsoft Office Word</Application>
  <DocSecurity>0</DocSecurity>
  <Lines>10</Lines>
  <Paragraphs>2</Paragraphs>
  <ScaleCrop>false</ScaleCrop>
  <Company>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林家欣</dc:creator>
  <cp:keywords/>
  <cp:lastModifiedBy>USER</cp:lastModifiedBy>
  <cp:revision>2</cp:revision>
  <cp:lastPrinted>2024-10-24T13:50:00Z</cp:lastPrinted>
  <dcterms:created xsi:type="dcterms:W3CDTF">2024-11-19T02:15:00Z</dcterms:created>
  <dcterms:modified xsi:type="dcterms:W3CDTF">2024-11-19T02:15:00Z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